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FE7" w:rsidRDefault="00231FE7" w:rsidP="00952B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680"/>
        <w:gridCol w:w="1858"/>
      </w:tblGrid>
      <w:tr w:rsidR="00231FE7" w:rsidTr="005D4A22">
        <w:tc>
          <w:tcPr>
            <w:tcW w:w="1908" w:type="dxa"/>
            <w:vAlign w:val="center"/>
          </w:tcPr>
          <w:p w:rsidR="00231FE7" w:rsidRDefault="00231FE7" w:rsidP="00952B72">
            <w:pPr>
              <w:pStyle w:val="Overskrift1"/>
            </w:pPr>
            <w:r>
              <w:t xml:space="preserve">Pkt.   </w:t>
            </w:r>
            <w:bookmarkStart w:id="0" w:name="PKT3021415"/>
            <w:r>
              <w:t>432</w:t>
            </w:r>
            <w:bookmarkEnd w:id="0"/>
          </w:p>
        </w:tc>
        <w:tc>
          <w:tcPr>
            <w:tcW w:w="6538" w:type="dxa"/>
            <w:gridSpan w:val="2"/>
            <w:vAlign w:val="center"/>
          </w:tcPr>
          <w:p w:rsidR="00231FE7" w:rsidRDefault="00231FE7" w:rsidP="00952B72">
            <w:pPr>
              <w:pStyle w:val="Overskrift1"/>
            </w:pPr>
            <w:r>
              <w:t>Salg af fast ejendom (3)</w:t>
            </w:r>
          </w:p>
        </w:tc>
      </w:tr>
      <w:tr w:rsidR="00231FE7" w:rsidTr="005D4A22">
        <w:tc>
          <w:tcPr>
            <w:tcW w:w="1908" w:type="dxa"/>
            <w:vAlign w:val="center"/>
          </w:tcPr>
          <w:p w:rsidR="00231FE7" w:rsidRDefault="00231FE7" w:rsidP="00952B72">
            <w:r>
              <w:t>Sagsnr.  312368</w:t>
            </w:r>
          </w:p>
        </w:tc>
        <w:tc>
          <w:tcPr>
            <w:tcW w:w="4680" w:type="dxa"/>
            <w:vAlign w:val="center"/>
          </w:tcPr>
          <w:p w:rsidR="00231FE7" w:rsidRDefault="00231FE7" w:rsidP="00952B72">
            <w:r>
              <w:t>Byrådet</w:t>
            </w:r>
          </w:p>
        </w:tc>
        <w:tc>
          <w:tcPr>
            <w:tcW w:w="1858" w:type="dxa"/>
            <w:vAlign w:val="center"/>
          </w:tcPr>
          <w:p w:rsidR="00231FE7" w:rsidRDefault="00231FE7" w:rsidP="00952B72">
            <w:r>
              <w:t xml:space="preserve"> </w:t>
            </w:r>
            <w:bookmarkStart w:id="1" w:name="MDE3021415"/>
            <w:r>
              <w:rPr>
                <w:b/>
              </w:rPr>
              <w:t xml:space="preserve">Lukket </w:t>
            </w:r>
            <w:bookmarkEnd w:id="1"/>
            <w:r>
              <w:t xml:space="preserve"> punkt</w:t>
            </w:r>
          </w:p>
        </w:tc>
      </w:tr>
    </w:tbl>
    <w:p w:rsidR="00231FE7" w:rsidRPr="00FC536A" w:rsidRDefault="00231FE7" w:rsidP="00526627">
      <w:pPr>
        <w:pStyle w:val="Overskrift2"/>
      </w:pPr>
      <w:r w:rsidRPr="00FC536A">
        <w:t>Resume</w:t>
      </w:r>
    </w:p>
    <w:p w:rsidR="00231FE7" w:rsidRPr="00173FB4" w:rsidRDefault="00231FE7" w:rsidP="00952B72">
      <w:r w:rsidRPr="00173FB4">
        <w:t xml:space="preserve">Ejendommen </w:t>
      </w:r>
      <w:r>
        <w:t>Osvej Vest 107, Jyllinge,</w:t>
      </w:r>
      <w:r w:rsidRPr="00173FB4">
        <w:t xml:space="preserve"> står tom</w:t>
      </w:r>
      <w:r>
        <w:t xml:space="preserve">, efter at den har været anvendt som flygtningebolig. Det anbefales, </w:t>
      </w:r>
      <w:r w:rsidRPr="00173FB4">
        <w:t>at den sælges</w:t>
      </w:r>
      <w:r>
        <w:t>, og denne sag fastlægger salgsvilkår med tilhørende bevillinger</w:t>
      </w:r>
      <w:r w:rsidRPr="00173FB4">
        <w:t>.</w:t>
      </w:r>
    </w:p>
    <w:p w:rsidR="00231FE7" w:rsidRDefault="00231FE7" w:rsidP="00952B72"/>
    <w:p w:rsidR="00231FE7" w:rsidRPr="00FC536A" w:rsidRDefault="00231FE7" w:rsidP="00952B72">
      <w:r w:rsidRPr="00FC536A">
        <w:t>Sagen er lukket, da den drejer sig om salg af fast ejendom. Sagen åbnes aldrig, da den indeholder elementer om salgsvilkår, som genbruges ved fremtidige salg af fast ejendom.</w:t>
      </w:r>
    </w:p>
    <w:p w:rsidR="00231FE7" w:rsidRPr="00FC536A" w:rsidRDefault="00231FE7" w:rsidP="00526627">
      <w:pPr>
        <w:pStyle w:val="Overskrift2"/>
      </w:pPr>
      <w:r w:rsidRPr="00FC536A">
        <w:t>Indstilling</w:t>
      </w:r>
    </w:p>
    <w:p w:rsidR="00231FE7" w:rsidRPr="00FC536A" w:rsidRDefault="00231FE7" w:rsidP="00952B72">
      <w:r w:rsidRPr="00FC536A">
        <w:t xml:space="preserve">Forvaltningen indstiller, </w:t>
      </w:r>
      <w:r>
        <w:t>at</w:t>
      </w:r>
    </w:p>
    <w:p w:rsidR="00231FE7" w:rsidRPr="00FC536A" w:rsidRDefault="00231FE7" w:rsidP="00231FE7">
      <w:pPr>
        <w:pStyle w:val="Listeafsnit"/>
        <w:numPr>
          <w:ilvl w:val="0"/>
          <w:numId w:val="21"/>
        </w:numPr>
        <w:contextualSpacing/>
      </w:pPr>
      <w:r w:rsidRPr="00FC536A">
        <w:t xml:space="preserve">ejendommen </w:t>
      </w:r>
      <w:r>
        <w:t>Osvej Vest 107, Jyllinge,</w:t>
      </w:r>
      <w:r w:rsidRPr="00FC536A">
        <w:t xml:space="preserve"> udbydes til salg ved mægler til højestbydende, idet minimumsprisen fastsættes til </w:t>
      </w:r>
      <w:r>
        <w:t>2.050.000</w:t>
      </w:r>
      <w:r w:rsidRPr="00FC536A">
        <w:t xml:space="preserve"> kr.,</w:t>
      </w:r>
    </w:p>
    <w:p w:rsidR="00231FE7" w:rsidRPr="00FC536A" w:rsidRDefault="00231FE7" w:rsidP="00231FE7">
      <w:pPr>
        <w:pStyle w:val="Listeafsnit"/>
        <w:numPr>
          <w:ilvl w:val="0"/>
          <w:numId w:val="21"/>
        </w:numPr>
        <w:contextualSpacing/>
      </w:pPr>
      <w:r w:rsidRPr="00FC536A">
        <w:t xml:space="preserve">ejendommen – hvis et salg ikke lykkes umiddelbart efter budfristens udløb – kan overgå til almindeligt salg til en nedsat pris på </w:t>
      </w:r>
      <w:r>
        <w:t>1.950.000</w:t>
      </w:r>
      <w:r w:rsidRPr="00FC536A">
        <w:t xml:space="preserve"> kr., </w:t>
      </w:r>
    </w:p>
    <w:p w:rsidR="00231FE7" w:rsidRPr="00FC536A" w:rsidRDefault="00231FE7" w:rsidP="00231FE7">
      <w:pPr>
        <w:pStyle w:val="Listeafsnit"/>
        <w:numPr>
          <w:ilvl w:val="0"/>
          <w:numId w:val="21"/>
        </w:numPr>
        <w:contextualSpacing/>
      </w:pPr>
      <w:r w:rsidRPr="00FC536A">
        <w:t xml:space="preserve">forvaltningen bemyndiges til at underskrive købsaftalen på de anførte vilkår, hvis der opnås en købesum på mindst </w:t>
      </w:r>
      <w:r>
        <w:t>1.950.000</w:t>
      </w:r>
      <w:r w:rsidRPr="00FC536A">
        <w:t xml:space="preserve"> kr.,</w:t>
      </w:r>
    </w:p>
    <w:p w:rsidR="00231FE7" w:rsidRDefault="00231FE7" w:rsidP="00231FE7">
      <w:pPr>
        <w:pStyle w:val="Listeafsnit"/>
        <w:numPr>
          <w:ilvl w:val="0"/>
          <w:numId w:val="21"/>
        </w:numPr>
        <w:contextualSpacing/>
      </w:pPr>
      <w:r w:rsidRPr="00FC536A">
        <w:t xml:space="preserve">der afsættes rådighedsbeløb og gives en anlægsbevilling på </w:t>
      </w:r>
      <w:r>
        <w:t>1.950.000 kr. til salgsindtægten, beløbet tilføres købs- og salgspuljen,</w:t>
      </w:r>
    </w:p>
    <w:p w:rsidR="00231FE7" w:rsidRPr="00FC536A" w:rsidRDefault="00231FE7" w:rsidP="00231FE7">
      <w:pPr>
        <w:pStyle w:val="Listeafsnit"/>
        <w:numPr>
          <w:ilvl w:val="0"/>
          <w:numId w:val="21"/>
        </w:numPr>
        <w:contextualSpacing/>
      </w:pPr>
      <w:r>
        <w:t>der afsættes rådighedsbeløb og gives en anlægsbevilling til Integration på 50.000 kr. til udskiftning af oliefyr, finansieret af købs- og salgspuljen,</w:t>
      </w:r>
    </w:p>
    <w:p w:rsidR="00231FE7" w:rsidRPr="00FC536A" w:rsidRDefault="00231FE7" w:rsidP="00231FE7">
      <w:pPr>
        <w:pStyle w:val="Listeafsnit"/>
        <w:numPr>
          <w:ilvl w:val="0"/>
          <w:numId w:val="21"/>
        </w:numPr>
        <w:contextualSpacing/>
      </w:pPr>
      <w:r w:rsidRPr="00FC536A">
        <w:t>der afsættes rådighedsbeløb og gives en anlægsbevilling på 50.000 kr. vedr. salgsudgifterne,</w:t>
      </w:r>
      <w:r>
        <w:t xml:space="preserve"> finansieret af købs- og salgspuljen, og</w:t>
      </w:r>
    </w:p>
    <w:p w:rsidR="00231FE7" w:rsidRDefault="00231FE7" w:rsidP="00231FE7">
      <w:pPr>
        <w:pStyle w:val="Listeafsnit"/>
        <w:numPr>
          <w:ilvl w:val="0"/>
          <w:numId w:val="21"/>
        </w:numPr>
        <w:contextualSpacing/>
      </w:pPr>
      <w:r w:rsidRPr="00F5338F">
        <w:t>restgæld på lån opgjort efter betaling af december termin på 2.269.000 kr. indfries ved salget.</w:t>
      </w:r>
    </w:p>
    <w:p w:rsidR="00231FE7" w:rsidRPr="00FC536A" w:rsidRDefault="00231FE7" w:rsidP="00526627">
      <w:pPr>
        <w:pStyle w:val="Overskrift2"/>
      </w:pPr>
      <w:r w:rsidRPr="00FC536A">
        <w:t>Beslutningskompetence</w:t>
      </w:r>
    </w:p>
    <w:p w:rsidR="00231FE7" w:rsidRPr="00FC536A" w:rsidRDefault="00231FE7" w:rsidP="00952B72">
      <w:r w:rsidRPr="00FC536A">
        <w:t>Økonomiudvalget for så vidt angår indstillingspunkt 1-3, og byrådet for så vidt angår de resterende punkter.</w:t>
      </w:r>
    </w:p>
    <w:p w:rsidR="00231FE7" w:rsidRPr="00FC536A" w:rsidRDefault="00231FE7" w:rsidP="00526627">
      <w:pPr>
        <w:pStyle w:val="Overskrift2"/>
      </w:pPr>
      <w:r w:rsidRPr="00FC536A">
        <w:t>Sagsfremstilling</w:t>
      </w:r>
    </w:p>
    <w:p w:rsidR="00231FE7" w:rsidRPr="00173FB4" w:rsidRDefault="00231FE7" w:rsidP="00952B72">
      <w:r>
        <w:t xml:space="preserve">Osvej Vest 107 </w:t>
      </w:r>
      <w:r w:rsidRPr="00173FB4">
        <w:t xml:space="preserve">blev erhvervet i </w:t>
      </w:r>
      <w:r>
        <w:t>2016 til flygtningebolig.</w:t>
      </w:r>
      <w:r w:rsidRPr="00173FB4">
        <w:t xml:space="preserve"> Købesummen var dengang </w:t>
      </w:r>
      <w:r>
        <w:t>2.450.000</w:t>
      </w:r>
      <w:r w:rsidRPr="00173FB4">
        <w:t xml:space="preserve"> kr.</w:t>
      </w:r>
    </w:p>
    <w:p w:rsidR="00231FE7" w:rsidRPr="00173FB4" w:rsidRDefault="00231FE7" w:rsidP="00952B72">
      <w:r w:rsidRPr="00173FB4">
        <w:t xml:space="preserve">Ejendommen står </w:t>
      </w:r>
      <w:r>
        <w:t xml:space="preserve">i dag </w:t>
      </w:r>
      <w:r w:rsidRPr="00173FB4">
        <w:t xml:space="preserve">tom, </w:t>
      </w:r>
      <w:r>
        <w:t>og den ønskes solgt.</w:t>
      </w:r>
    </w:p>
    <w:p w:rsidR="00231FE7" w:rsidRDefault="00231FE7" w:rsidP="00952B72">
      <w:r>
        <w:t>Efter besigtigelse foreslår mægler, at ejendommen</w:t>
      </w:r>
      <w:r w:rsidRPr="00FC536A">
        <w:t xml:space="preserve"> udbydes til en minimumspris på 2.</w:t>
      </w:r>
      <w:r>
        <w:t>05</w:t>
      </w:r>
      <w:r w:rsidRPr="00FC536A">
        <w:t xml:space="preserve">0.000 kr. Hvis ejendommen ikke sælges i umiddelbar forlængelse af budrunden, foreslås det, at den efter budrunden kan overgå til almindeligt salg efter en prisnedsættelse på 100.000 kr. </w:t>
      </w:r>
    </w:p>
    <w:p w:rsidR="00231FE7" w:rsidRPr="00FC536A" w:rsidRDefault="00231FE7" w:rsidP="00952B72">
      <w:r>
        <w:t xml:space="preserve">Minimumsprisen forudsætter, at husets defekte oliefyr udskiftes, før ejendommen udbydes. Mægler vurderer, at ejendommen bliver svær at sælge, hvis den står uopvarmet, og det er han opfattelse, at interesserede vil forlange varme på ejendommen, før der bydes. </w:t>
      </w:r>
    </w:p>
    <w:p w:rsidR="00231FE7" w:rsidRDefault="00231FE7" w:rsidP="00952B72">
      <w:r w:rsidRPr="00FC536A">
        <w:t>Ejendommen</w:t>
      </w:r>
      <w:r>
        <w:t>, der er opført i 1967,</w:t>
      </w:r>
      <w:r w:rsidRPr="00FC536A">
        <w:t xml:space="preserve"> </w:t>
      </w:r>
      <w:r>
        <w:t>ligger i Jyllinge Nordmark.</w:t>
      </w:r>
      <w:r w:rsidRPr="00FC536A">
        <w:t xml:space="preserve"> Grundstørrelsen er </w:t>
      </w:r>
      <w:r>
        <w:t xml:space="preserve">900 </w:t>
      </w:r>
      <w:r w:rsidRPr="00FC536A">
        <w:t xml:space="preserve">m2, og bygningen har ifølge BBR-ejermeddelelsen et boligareal på </w:t>
      </w:r>
      <w:r>
        <w:t>151 m2.</w:t>
      </w:r>
      <w:r w:rsidRPr="00FC536A">
        <w:t xml:space="preserve"> </w:t>
      </w:r>
      <w:r>
        <w:t xml:space="preserve">Denne ejendom har ikke været oversvømmet, men ejendomsmarkedet i området er stadig påvirket af de oversvømmelser, der har været. </w:t>
      </w:r>
    </w:p>
    <w:p w:rsidR="00231FE7" w:rsidRDefault="00231FE7" w:rsidP="00952B72">
      <w:r>
        <w:t xml:space="preserve">Boligen er siden kommunens køb ombygget, så den kunne huse flere flygtninge. Denne indretning er uhensigtsmæssig for en familie. En fremtidig ejer må derfor forventes at skulle afsætte midler til at tilbageføre boligen til dens oprindelige indretning. </w:t>
      </w:r>
    </w:p>
    <w:p w:rsidR="00231FE7" w:rsidRDefault="00231FE7" w:rsidP="00952B72">
      <w:r>
        <w:t>Ejendommen er misrøgtet, og køkkenet må fjernes, før vi udbyder til salg. Der er fundet kakkelakker i ejendommen, og de skal ligeledes fjernes professionelt før et udbud.</w:t>
      </w:r>
    </w:p>
    <w:p w:rsidR="00231FE7" w:rsidRDefault="00231FE7" w:rsidP="00952B72">
      <w:r>
        <w:t xml:space="preserve">Alt dette påvirker den pris, som kan forventes for ejendommen. </w:t>
      </w:r>
    </w:p>
    <w:p w:rsidR="00231FE7" w:rsidRPr="00FC536A" w:rsidRDefault="00231FE7" w:rsidP="00952B72">
      <w:r w:rsidRPr="00FC536A">
        <w:t>Udbud sker med fuld ansvarsfraskrivelse for kommunen til overtagelse så hurtigt som muligt.</w:t>
      </w:r>
    </w:p>
    <w:p w:rsidR="00231FE7" w:rsidRDefault="00231FE7" w:rsidP="00952B72">
      <w:r>
        <w:t>Der søges en bevilling på 50.000 kr. til udskiftning af oliefyret, idet Integration ikke har midler stående til sådanne større renoveringsarbejder.</w:t>
      </w:r>
    </w:p>
    <w:p w:rsidR="00231FE7" w:rsidRPr="00FC536A" w:rsidRDefault="00231FE7" w:rsidP="00952B72">
      <w:r w:rsidRPr="00FC536A">
        <w:t>Salgsudgifterne kan rummes indenfor 50.000 kr. (honorar, markedsføring, tilstandsrapport, elinstallationsrapport og ejerskifteforsikring).</w:t>
      </w:r>
    </w:p>
    <w:p w:rsidR="00231FE7" w:rsidRPr="00FC536A" w:rsidRDefault="00231FE7" w:rsidP="00952B72">
      <w:r w:rsidRPr="00FC536A">
        <w:t>Økonomi</w:t>
      </w:r>
    </w:p>
    <w:p w:rsidR="00231FE7" w:rsidRDefault="00231FE7" w:rsidP="00952B72">
      <w:r>
        <w:t>Sagen har ingen budgetmæssige konsekvenser i 2018 og 2019, da de samlede nettoudgifter finansieres af købs- og salgspuljen.</w:t>
      </w:r>
    </w:p>
    <w:p w:rsidR="00231FE7" w:rsidRDefault="00231FE7" w:rsidP="00952B72"/>
    <w:p w:rsidR="00231FE7" w:rsidRPr="00FC536A" w:rsidRDefault="00231FE7" w:rsidP="00952B72">
      <w:r w:rsidRPr="00FC536A">
        <w:t>Økonomiske konsekvenser anlægssager i årene 2018-2021:</w:t>
      </w:r>
    </w:p>
    <w:p w:rsidR="00231FE7" w:rsidRPr="00FC536A" w:rsidRDefault="00231FE7" w:rsidP="00952B72"/>
    <w:tbl>
      <w:tblPr>
        <w:tblW w:w="0" w:type="auto"/>
        <w:tblLook w:val="01E0" w:firstRow="1" w:lastRow="1" w:firstColumn="1" w:lastColumn="1" w:noHBand="0" w:noVBand="0"/>
      </w:tblPr>
      <w:tblGrid>
        <w:gridCol w:w="4239"/>
        <w:gridCol w:w="1066"/>
        <w:gridCol w:w="1068"/>
        <w:gridCol w:w="1065"/>
        <w:gridCol w:w="1066"/>
      </w:tblGrid>
      <w:tr w:rsidR="00231FE7" w:rsidRPr="00FC536A" w:rsidTr="00A41437">
        <w:tc>
          <w:tcPr>
            <w:tcW w:w="4248" w:type="dxa"/>
          </w:tcPr>
          <w:p w:rsidR="00231FE7" w:rsidRPr="00FC536A" w:rsidRDefault="00231FE7" w:rsidP="00952B72">
            <w:r w:rsidRPr="00FC536A">
              <w:t>Alle tal i 1.000 kr.</w:t>
            </w:r>
          </w:p>
          <w:p w:rsidR="00231FE7" w:rsidRPr="00FC536A" w:rsidRDefault="00231FE7" w:rsidP="00952B72">
            <w:r w:rsidRPr="00FC536A">
              <w:t>- = merudgift eller mindreindtægt</w:t>
            </w:r>
          </w:p>
          <w:p w:rsidR="00231FE7" w:rsidRPr="00FC536A" w:rsidRDefault="00231FE7" w:rsidP="00952B72">
            <w:r w:rsidRPr="00FC536A">
              <w:t>+ = Mindreudgift eller merindtægt</w:t>
            </w:r>
          </w:p>
          <w:p w:rsidR="00231FE7" w:rsidRPr="00FC536A" w:rsidRDefault="00231FE7" w:rsidP="00952B72"/>
        </w:tc>
        <w:tc>
          <w:tcPr>
            <w:tcW w:w="1068" w:type="dxa"/>
          </w:tcPr>
          <w:p w:rsidR="00231FE7" w:rsidRPr="00FC536A" w:rsidRDefault="00231FE7" w:rsidP="00952B72">
            <w:r w:rsidRPr="00FC536A">
              <w:t>2018</w:t>
            </w:r>
          </w:p>
        </w:tc>
        <w:tc>
          <w:tcPr>
            <w:tcW w:w="1069" w:type="dxa"/>
          </w:tcPr>
          <w:p w:rsidR="00231FE7" w:rsidRPr="00FC536A" w:rsidRDefault="00231FE7" w:rsidP="00952B72">
            <w:r w:rsidRPr="00FC536A">
              <w:t>2019</w:t>
            </w:r>
          </w:p>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Pr="00FC536A" w:rsidRDefault="00231FE7" w:rsidP="00952B72">
            <w:r w:rsidRPr="00FC536A">
              <w:t>Investeringsoversigt, senest vedtagne rådighedsbeløb:</w:t>
            </w:r>
          </w:p>
        </w:tc>
        <w:tc>
          <w:tcPr>
            <w:tcW w:w="1068" w:type="dxa"/>
          </w:tcPr>
          <w:p w:rsidR="00231FE7" w:rsidRPr="00FC536A" w:rsidRDefault="00231FE7" w:rsidP="00952B72"/>
        </w:tc>
        <w:tc>
          <w:tcPr>
            <w:tcW w:w="1069" w:type="dxa"/>
          </w:tcPr>
          <w:p w:rsidR="00231FE7" w:rsidRPr="00FC536A" w:rsidRDefault="00231FE7" w:rsidP="00952B72"/>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Pr="00FC536A" w:rsidRDefault="00231FE7" w:rsidP="00952B72">
            <w:r w:rsidRPr="00FC536A">
              <w:t>Anlæg, udgifter</w:t>
            </w:r>
          </w:p>
        </w:tc>
        <w:tc>
          <w:tcPr>
            <w:tcW w:w="1068" w:type="dxa"/>
          </w:tcPr>
          <w:p w:rsidR="00231FE7" w:rsidRPr="00FC536A" w:rsidRDefault="00231FE7" w:rsidP="00952B72"/>
        </w:tc>
        <w:tc>
          <w:tcPr>
            <w:tcW w:w="1069" w:type="dxa"/>
          </w:tcPr>
          <w:p w:rsidR="00231FE7" w:rsidRPr="00FC536A" w:rsidRDefault="00231FE7" w:rsidP="00952B72">
            <w:r w:rsidRPr="00FC536A">
              <w:t xml:space="preserve"> 0</w:t>
            </w:r>
          </w:p>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Pr="00FC536A" w:rsidRDefault="00231FE7" w:rsidP="00952B72">
            <w:r w:rsidRPr="00FC536A">
              <w:t>Anlæg, indtægter</w:t>
            </w:r>
          </w:p>
        </w:tc>
        <w:tc>
          <w:tcPr>
            <w:tcW w:w="1068" w:type="dxa"/>
          </w:tcPr>
          <w:p w:rsidR="00231FE7" w:rsidRPr="00FC536A" w:rsidRDefault="00231FE7" w:rsidP="00952B72"/>
        </w:tc>
        <w:tc>
          <w:tcPr>
            <w:tcW w:w="1069" w:type="dxa"/>
          </w:tcPr>
          <w:p w:rsidR="00231FE7" w:rsidRPr="00FC536A" w:rsidRDefault="00231FE7" w:rsidP="00952B72">
            <w:r w:rsidRPr="00FC536A">
              <w:t xml:space="preserve"> 0</w:t>
            </w:r>
          </w:p>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Pr="00FC536A" w:rsidRDefault="00231FE7" w:rsidP="00952B72"/>
        </w:tc>
        <w:tc>
          <w:tcPr>
            <w:tcW w:w="1068" w:type="dxa"/>
          </w:tcPr>
          <w:p w:rsidR="00231FE7" w:rsidRPr="00FC536A" w:rsidRDefault="00231FE7" w:rsidP="00952B72"/>
        </w:tc>
        <w:tc>
          <w:tcPr>
            <w:tcW w:w="1069" w:type="dxa"/>
          </w:tcPr>
          <w:p w:rsidR="00231FE7" w:rsidRPr="00FC536A" w:rsidRDefault="00231FE7" w:rsidP="00952B72"/>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Pr="00FC536A" w:rsidRDefault="00231FE7" w:rsidP="00952B72">
            <w:r w:rsidRPr="00FC536A">
              <w:t>Forslag til revideret rådighedsbeløb:</w:t>
            </w:r>
          </w:p>
        </w:tc>
        <w:tc>
          <w:tcPr>
            <w:tcW w:w="1068" w:type="dxa"/>
          </w:tcPr>
          <w:p w:rsidR="00231FE7" w:rsidRPr="00FC536A" w:rsidRDefault="00231FE7" w:rsidP="00952B72"/>
        </w:tc>
        <w:tc>
          <w:tcPr>
            <w:tcW w:w="1069" w:type="dxa"/>
          </w:tcPr>
          <w:p w:rsidR="00231FE7" w:rsidRPr="00FC536A" w:rsidRDefault="00231FE7" w:rsidP="00952B72"/>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Default="00231FE7" w:rsidP="00952B72">
            <w:r>
              <w:t>Anlæg, udgifter til udskiftning af oliefyr</w:t>
            </w:r>
          </w:p>
          <w:p w:rsidR="00231FE7" w:rsidRPr="00FC536A" w:rsidRDefault="00231FE7" w:rsidP="00952B72">
            <w:r>
              <w:t>Anlæg, salgsudgifter</w:t>
            </w:r>
          </w:p>
        </w:tc>
        <w:tc>
          <w:tcPr>
            <w:tcW w:w="1068" w:type="dxa"/>
          </w:tcPr>
          <w:p w:rsidR="00231FE7" w:rsidRPr="00FC536A" w:rsidRDefault="00231FE7" w:rsidP="00952B72"/>
        </w:tc>
        <w:tc>
          <w:tcPr>
            <w:tcW w:w="1069" w:type="dxa"/>
          </w:tcPr>
          <w:p w:rsidR="00231FE7" w:rsidRPr="00FC536A" w:rsidRDefault="00231FE7" w:rsidP="00952B72">
            <w:r w:rsidRPr="00FC536A">
              <w:t>-50</w:t>
            </w:r>
            <w:r>
              <w:t xml:space="preserve"> </w:t>
            </w:r>
            <w:r>
              <w:br/>
              <w:t>-50</w:t>
            </w:r>
          </w:p>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Pr="00FC536A" w:rsidRDefault="00231FE7" w:rsidP="00952B72">
            <w:r w:rsidRPr="00FC536A">
              <w:t>Anlæg, indtægter</w:t>
            </w:r>
          </w:p>
        </w:tc>
        <w:tc>
          <w:tcPr>
            <w:tcW w:w="1068" w:type="dxa"/>
          </w:tcPr>
          <w:p w:rsidR="00231FE7" w:rsidRPr="00FC536A" w:rsidRDefault="00231FE7" w:rsidP="00952B72"/>
        </w:tc>
        <w:tc>
          <w:tcPr>
            <w:tcW w:w="1069" w:type="dxa"/>
          </w:tcPr>
          <w:p w:rsidR="00231FE7" w:rsidRPr="00FC536A" w:rsidRDefault="00231FE7" w:rsidP="00952B72">
            <w:r>
              <w:t>1.950</w:t>
            </w:r>
          </w:p>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Pr="00FC536A" w:rsidRDefault="00231FE7" w:rsidP="00952B72"/>
        </w:tc>
        <w:tc>
          <w:tcPr>
            <w:tcW w:w="1068" w:type="dxa"/>
          </w:tcPr>
          <w:p w:rsidR="00231FE7" w:rsidRPr="00FC536A" w:rsidRDefault="00231FE7" w:rsidP="00952B72"/>
        </w:tc>
        <w:tc>
          <w:tcPr>
            <w:tcW w:w="1069" w:type="dxa"/>
          </w:tcPr>
          <w:p w:rsidR="00231FE7" w:rsidRPr="00FC536A" w:rsidRDefault="00231FE7" w:rsidP="00952B72"/>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Pr="00FC536A" w:rsidRDefault="00231FE7" w:rsidP="00952B72">
            <w:r w:rsidRPr="00FC536A">
              <w:t>Ansøgning om anlægsbevilling:</w:t>
            </w:r>
          </w:p>
        </w:tc>
        <w:tc>
          <w:tcPr>
            <w:tcW w:w="1068" w:type="dxa"/>
          </w:tcPr>
          <w:p w:rsidR="00231FE7" w:rsidRPr="00FC536A" w:rsidRDefault="00231FE7" w:rsidP="00952B72"/>
        </w:tc>
        <w:tc>
          <w:tcPr>
            <w:tcW w:w="1069" w:type="dxa"/>
          </w:tcPr>
          <w:p w:rsidR="00231FE7" w:rsidRPr="00FC536A" w:rsidRDefault="00231FE7" w:rsidP="00952B72"/>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Pr="00FC536A" w:rsidRDefault="00231FE7" w:rsidP="00952B72">
            <w:r w:rsidRPr="00FC536A">
              <w:t>Anlæg, udgifter</w:t>
            </w:r>
            <w:r>
              <w:t xml:space="preserve"> til udskiftning af oliefyr</w:t>
            </w:r>
            <w:r>
              <w:br/>
              <w:t>Anlæg, salgsudgifter</w:t>
            </w:r>
          </w:p>
        </w:tc>
        <w:tc>
          <w:tcPr>
            <w:tcW w:w="1068" w:type="dxa"/>
          </w:tcPr>
          <w:p w:rsidR="00231FE7" w:rsidRPr="00FC536A" w:rsidRDefault="00231FE7" w:rsidP="00952B72"/>
        </w:tc>
        <w:tc>
          <w:tcPr>
            <w:tcW w:w="1069" w:type="dxa"/>
          </w:tcPr>
          <w:p w:rsidR="00231FE7" w:rsidRPr="00FC536A" w:rsidRDefault="00231FE7" w:rsidP="00952B72">
            <w:r>
              <w:t>-50</w:t>
            </w:r>
            <w:r>
              <w:br/>
              <w:t>-50</w:t>
            </w:r>
          </w:p>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Pr="00FC536A" w:rsidRDefault="00231FE7" w:rsidP="00952B72">
            <w:r w:rsidRPr="00FC536A">
              <w:t>Anlæg, indtægter</w:t>
            </w:r>
          </w:p>
        </w:tc>
        <w:tc>
          <w:tcPr>
            <w:tcW w:w="1068" w:type="dxa"/>
          </w:tcPr>
          <w:p w:rsidR="00231FE7" w:rsidRPr="00FC536A" w:rsidRDefault="00231FE7" w:rsidP="00952B72"/>
        </w:tc>
        <w:tc>
          <w:tcPr>
            <w:tcW w:w="1069" w:type="dxa"/>
          </w:tcPr>
          <w:p w:rsidR="00231FE7" w:rsidRPr="00FC536A" w:rsidRDefault="00231FE7" w:rsidP="00952B72">
            <w:r>
              <w:t>1.950</w:t>
            </w:r>
          </w:p>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034BF2">
        <w:tc>
          <w:tcPr>
            <w:tcW w:w="4248" w:type="dxa"/>
          </w:tcPr>
          <w:p w:rsidR="00231FE7" w:rsidRDefault="00231FE7" w:rsidP="00952B72"/>
          <w:p w:rsidR="00231FE7" w:rsidRPr="00FC536A" w:rsidRDefault="00231FE7" w:rsidP="00952B72">
            <w:r>
              <w:t>Finansiering</w:t>
            </w:r>
            <w:r w:rsidRPr="00FC536A">
              <w:t>:</w:t>
            </w:r>
          </w:p>
        </w:tc>
        <w:tc>
          <w:tcPr>
            <w:tcW w:w="1068" w:type="dxa"/>
          </w:tcPr>
          <w:p w:rsidR="00231FE7" w:rsidRPr="00FC536A" w:rsidRDefault="00231FE7" w:rsidP="00952B72"/>
        </w:tc>
        <w:tc>
          <w:tcPr>
            <w:tcW w:w="1069" w:type="dxa"/>
          </w:tcPr>
          <w:p w:rsidR="00231FE7" w:rsidRPr="00FC536A" w:rsidRDefault="00231FE7" w:rsidP="00952B72"/>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034BF2">
        <w:tc>
          <w:tcPr>
            <w:tcW w:w="4248" w:type="dxa"/>
          </w:tcPr>
          <w:p w:rsidR="00231FE7" w:rsidRPr="00FC536A" w:rsidRDefault="00231FE7" w:rsidP="00952B72">
            <w:r>
              <w:t>Indfrielse af lån</w:t>
            </w:r>
            <w:r>
              <w:br/>
              <w:t>Ændring af købs- og salgspuljen</w:t>
            </w:r>
          </w:p>
        </w:tc>
        <w:tc>
          <w:tcPr>
            <w:tcW w:w="1068" w:type="dxa"/>
          </w:tcPr>
          <w:p w:rsidR="00231FE7" w:rsidRPr="00FC536A" w:rsidRDefault="00231FE7" w:rsidP="00952B72"/>
        </w:tc>
        <w:tc>
          <w:tcPr>
            <w:tcW w:w="1069" w:type="dxa"/>
          </w:tcPr>
          <w:p w:rsidR="00231FE7" w:rsidRPr="00FC536A" w:rsidRDefault="00231FE7" w:rsidP="00952B72">
            <w:r>
              <w:t>-2.269</w:t>
            </w:r>
            <w:r>
              <w:br/>
              <w:t>-419</w:t>
            </w:r>
          </w:p>
        </w:tc>
        <w:tc>
          <w:tcPr>
            <w:tcW w:w="1068" w:type="dxa"/>
          </w:tcPr>
          <w:p w:rsidR="00231FE7" w:rsidRPr="00FC536A" w:rsidRDefault="00231FE7" w:rsidP="00952B72"/>
        </w:tc>
        <w:tc>
          <w:tcPr>
            <w:tcW w:w="1069" w:type="dxa"/>
          </w:tcPr>
          <w:p w:rsidR="00231FE7" w:rsidRPr="00FC536A" w:rsidRDefault="00231FE7" w:rsidP="00952B72"/>
        </w:tc>
      </w:tr>
      <w:tr w:rsidR="00231FE7" w:rsidRPr="00FC536A" w:rsidTr="00A41437">
        <w:tc>
          <w:tcPr>
            <w:tcW w:w="4248" w:type="dxa"/>
          </w:tcPr>
          <w:p w:rsidR="00231FE7" w:rsidRPr="00FC536A" w:rsidRDefault="00231FE7" w:rsidP="00952B72"/>
        </w:tc>
        <w:tc>
          <w:tcPr>
            <w:tcW w:w="1068" w:type="dxa"/>
          </w:tcPr>
          <w:p w:rsidR="00231FE7" w:rsidRPr="00FC536A" w:rsidRDefault="00231FE7" w:rsidP="00952B72"/>
        </w:tc>
        <w:tc>
          <w:tcPr>
            <w:tcW w:w="1069" w:type="dxa"/>
          </w:tcPr>
          <w:p w:rsidR="00231FE7" w:rsidRPr="00FC536A" w:rsidRDefault="00231FE7" w:rsidP="00952B72"/>
        </w:tc>
        <w:tc>
          <w:tcPr>
            <w:tcW w:w="1068" w:type="dxa"/>
          </w:tcPr>
          <w:p w:rsidR="00231FE7" w:rsidRPr="00FC536A" w:rsidRDefault="00231FE7" w:rsidP="00952B72"/>
        </w:tc>
        <w:tc>
          <w:tcPr>
            <w:tcW w:w="1069" w:type="dxa"/>
          </w:tcPr>
          <w:p w:rsidR="00231FE7" w:rsidRPr="00FC536A" w:rsidRDefault="00231FE7" w:rsidP="00952B72"/>
        </w:tc>
      </w:tr>
    </w:tbl>
    <w:p w:rsidR="00231FE7" w:rsidRDefault="00231FE7" w:rsidP="00526627">
      <w:pPr>
        <w:pStyle w:val="Overskrift2"/>
      </w:pPr>
      <w:r>
        <w:t>Økonomiudvalget, 05-12-2018, pkt. 498</w:t>
      </w:r>
    </w:p>
    <w:p w:rsidR="00231FE7" w:rsidRDefault="00231FE7" w:rsidP="00952B72">
      <w:r>
        <w:t>Ad 1.-3. "at" Godkendt.</w:t>
      </w:r>
    </w:p>
    <w:p w:rsidR="00231FE7" w:rsidRDefault="00231FE7" w:rsidP="00952B72">
      <w:r>
        <w:t>Ad 4-7 "at" Anbefales.</w:t>
      </w:r>
    </w:p>
    <w:p w:rsidR="00231FE7" w:rsidRDefault="00231FE7" w:rsidP="0005094B">
      <w:pPr>
        <w:pStyle w:val="Overskrift2"/>
      </w:pPr>
      <w:r>
        <w:t>Byrådet, 19-12-2018, pkt. 432</w:t>
      </w:r>
    </w:p>
    <w:p w:rsidR="00231FE7" w:rsidRDefault="00231FE7" w:rsidP="00952B72">
      <w:r>
        <w:t>Godkendt.</w:t>
      </w:r>
    </w:p>
    <w:p w:rsidR="00231FE7" w:rsidRPr="00624F2D" w:rsidRDefault="00231FE7" w:rsidP="00952B72">
      <w:pPr>
        <w:rPr>
          <w:rFonts w:ascii="Calibri" w:hAnsi="Calibri" w:cs="Calibri"/>
        </w:rPr>
      </w:pPr>
    </w:p>
    <w:sectPr w:rsidR="00231FE7" w:rsidRPr="00624F2D" w:rsidSect="006E7E28">
      <w:pgSz w:w="11906" w:h="16838"/>
      <w:pgMar w:top="851" w:right="1701" w:bottom="851"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4E">
      <wne:acd wne:acdName="acd1"/>
    </wne:keymap>
    <wne:keymap wne:kcmPrimary="0450">
      <wne:acd wne:acdName="acd2"/>
    </wne:keymap>
    <wne:keymap wne:kcmPrimary="0453">
      <wne:acd wne:acdName="acd4"/>
    </wne:keymap>
    <wne:keymap wne:kcmPrimary="0454">
      <wne:acd wne:acdName="acd3"/>
    </wne:keymap>
  </wne:keymaps>
  <wne:toolbars>
    <wne:acdManifest>
      <wne:acdEntry wne:acdName="acd0"/>
      <wne:acdEntry wne:acdName="acd1"/>
      <wne:acdEntry wne:acdName="acd2"/>
      <wne:acdEntry wne:acdName="acd3"/>
      <wne:acdEntry wne:acdName="acd4"/>
    </wne:acdManifest>
  </wne:toolbars>
  <wne:acds>
    <wne:acd wne:argValue="AQAAAAIA" wne:acdName="acd0" wne:fciIndexBasedOn="0065"/>
    <wne:acd wne:argValue="AQAAAAAA" wne:acdName="acd1" wne:fciIndexBasedOn="0065"/>
    <wne:acd wne:argValue="AgBQAHUAbgBrAHQAbwBwAHMAdABpAGwAbABpAG4AZwA=" wne:acdName="acd2" wne:fciIndexBasedOn="0065"/>
    <wne:acd wne:argValue="AgBUAGEAbABvAHAAcwB0AGkAbABsAGkAbgBnAA==" wne:acdName="acd3" wne:fciIndexBasedOn="0065"/>
    <wne:acd wne:argValue="AgBVAG4AZABlAHIAbwB2AGUAcgBzAGsAcgBpAGYAdAA=" wne:acdName="acd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607"/>
    <w:multiLevelType w:val="multilevel"/>
    <w:tmpl w:val="6E3A2052"/>
    <w:lvl w:ilvl="0">
      <w:numFmt w:val="bullet"/>
      <w:lvlText w:val="-"/>
      <w:lvlJc w:val="left"/>
      <w:pPr>
        <w:tabs>
          <w:tab w:val="num" w:pos="2203"/>
        </w:tabs>
        <w:ind w:left="2203"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D75BA"/>
    <w:multiLevelType w:val="hybridMultilevel"/>
    <w:tmpl w:val="F1C84AEA"/>
    <w:lvl w:ilvl="0" w:tplc="654EF706">
      <w:numFmt w:val="bullet"/>
      <w:lvlText w:val="-"/>
      <w:lvlJc w:val="left"/>
      <w:pPr>
        <w:tabs>
          <w:tab w:val="num" w:pos="2203"/>
        </w:tabs>
        <w:ind w:left="220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C3E15"/>
    <w:multiLevelType w:val="hybridMultilevel"/>
    <w:tmpl w:val="F11C54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05836B4"/>
    <w:multiLevelType w:val="hybridMultilevel"/>
    <w:tmpl w:val="487E65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A4B566C"/>
    <w:multiLevelType w:val="multilevel"/>
    <w:tmpl w:val="E17E21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5715E3"/>
    <w:multiLevelType w:val="hybridMultilevel"/>
    <w:tmpl w:val="A2028D80"/>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6" w15:restartNumberingAfterBreak="0">
    <w:nsid w:val="2F5E61B5"/>
    <w:multiLevelType w:val="hybridMultilevel"/>
    <w:tmpl w:val="EA0A06C6"/>
    <w:lvl w:ilvl="0" w:tplc="74F6830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939F7"/>
    <w:multiLevelType w:val="multilevel"/>
    <w:tmpl w:val="6E3A2052"/>
    <w:lvl w:ilvl="0">
      <w:numFmt w:val="bullet"/>
      <w:lvlText w:val="-"/>
      <w:lvlJc w:val="left"/>
      <w:pPr>
        <w:tabs>
          <w:tab w:val="num" w:pos="2203"/>
        </w:tabs>
        <w:ind w:left="2203"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835606"/>
    <w:multiLevelType w:val="hybridMultilevel"/>
    <w:tmpl w:val="B3FC525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4541103A"/>
    <w:multiLevelType w:val="hybridMultilevel"/>
    <w:tmpl w:val="4EB841F6"/>
    <w:lvl w:ilvl="0" w:tplc="5D2AA616">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483675B1"/>
    <w:multiLevelType w:val="hybridMultilevel"/>
    <w:tmpl w:val="F11C54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FBA5499"/>
    <w:multiLevelType w:val="multilevel"/>
    <w:tmpl w:val="6E3A2052"/>
    <w:lvl w:ilvl="0">
      <w:numFmt w:val="bullet"/>
      <w:lvlText w:val="-"/>
      <w:lvlJc w:val="left"/>
      <w:pPr>
        <w:tabs>
          <w:tab w:val="num" w:pos="2203"/>
        </w:tabs>
        <w:ind w:left="2203"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3522EC"/>
    <w:multiLevelType w:val="hybridMultilevel"/>
    <w:tmpl w:val="F20A00A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9012A8"/>
    <w:multiLevelType w:val="hybridMultilevel"/>
    <w:tmpl w:val="E17E213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52A67A32"/>
    <w:multiLevelType w:val="multilevel"/>
    <w:tmpl w:val="F2D0BBA0"/>
    <w:lvl w:ilvl="0">
      <w:numFmt w:val="bullet"/>
      <w:lvlText w:val="-"/>
      <w:lvlJc w:val="left"/>
      <w:pPr>
        <w:tabs>
          <w:tab w:val="num" w:pos="2203"/>
        </w:tabs>
        <w:ind w:left="2203"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D3173"/>
    <w:multiLevelType w:val="multilevel"/>
    <w:tmpl w:val="F2D0BBA0"/>
    <w:lvl w:ilvl="0">
      <w:numFmt w:val="bullet"/>
      <w:lvlText w:val="-"/>
      <w:lvlJc w:val="left"/>
      <w:pPr>
        <w:tabs>
          <w:tab w:val="num" w:pos="2203"/>
        </w:tabs>
        <w:ind w:left="2203"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B95FF4"/>
    <w:multiLevelType w:val="hybridMultilevel"/>
    <w:tmpl w:val="D4880A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1F4130C"/>
    <w:multiLevelType w:val="hybridMultilevel"/>
    <w:tmpl w:val="C68C7A78"/>
    <w:lvl w:ilvl="0" w:tplc="CBF88AE4">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C0134B0"/>
    <w:multiLevelType w:val="hybridMultilevel"/>
    <w:tmpl w:val="F1D060D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8676C4"/>
    <w:multiLevelType w:val="hybridMultilevel"/>
    <w:tmpl w:val="002859F4"/>
    <w:lvl w:ilvl="0" w:tplc="916AF6A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
  </w:num>
  <w:num w:numId="4">
    <w:abstractNumId w:val="6"/>
  </w:num>
  <w:num w:numId="5">
    <w:abstractNumId w:val="7"/>
  </w:num>
  <w:num w:numId="6">
    <w:abstractNumId w:val="0"/>
  </w:num>
  <w:num w:numId="7">
    <w:abstractNumId w:val="11"/>
  </w:num>
  <w:num w:numId="8">
    <w:abstractNumId w:val="14"/>
  </w:num>
  <w:num w:numId="9">
    <w:abstractNumId w:val="15"/>
  </w:num>
  <w:num w:numId="10">
    <w:abstractNumId w:val="8"/>
  </w:num>
  <w:num w:numId="11">
    <w:abstractNumId w:val="13"/>
  </w:num>
  <w:num w:numId="12">
    <w:abstractNumId w:val="4"/>
  </w:num>
  <w:num w:numId="13">
    <w:abstractNumId w:val="9"/>
  </w:num>
  <w:num w:numId="14">
    <w:abstractNumId w:val="1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16"/>
  </w:num>
  <w:num w:numId="19">
    <w:abstractNumId w:val="3"/>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CS-CANSAVE" w:val="1"/>
    <w:docVar w:name="FICS-DOKUMENT" w:val="1"/>
  </w:docVars>
  <w:rsids>
    <w:rsidRoot w:val="009F4F59"/>
    <w:rsid w:val="000269E0"/>
    <w:rsid w:val="00044A8C"/>
    <w:rsid w:val="00054A7F"/>
    <w:rsid w:val="00056949"/>
    <w:rsid w:val="00064167"/>
    <w:rsid w:val="00067CA4"/>
    <w:rsid w:val="00086BDE"/>
    <w:rsid w:val="000B3702"/>
    <w:rsid w:val="000B714B"/>
    <w:rsid w:val="000E0C8A"/>
    <w:rsid w:val="00160FF7"/>
    <w:rsid w:val="00175DF5"/>
    <w:rsid w:val="00176078"/>
    <w:rsid w:val="001760FE"/>
    <w:rsid w:val="00194675"/>
    <w:rsid w:val="00197A83"/>
    <w:rsid w:val="001B3675"/>
    <w:rsid w:val="001D153B"/>
    <w:rsid w:val="001D15AB"/>
    <w:rsid w:val="001E28F3"/>
    <w:rsid w:val="00223A47"/>
    <w:rsid w:val="00231FE7"/>
    <w:rsid w:val="00250D50"/>
    <w:rsid w:val="00266460"/>
    <w:rsid w:val="002705A8"/>
    <w:rsid w:val="0027529E"/>
    <w:rsid w:val="002822BB"/>
    <w:rsid w:val="0029600A"/>
    <w:rsid w:val="002B31C0"/>
    <w:rsid w:val="002F11BB"/>
    <w:rsid w:val="00322E78"/>
    <w:rsid w:val="00325421"/>
    <w:rsid w:val="00333C09"/>
    <w:rsid w:val="00334671"/>
    <w:rsid w:val="00337D88"/>
    <w:rsid w:val="00342453"/>
    <w:rsid w:val="00356DC1"/>
    <w:rsid w:val="003C79A4"/>
    <w:rsid w:val="003D15FC"/>
    <w:rsid w:val="003D4CCD"/>
    <w:rsid w:val="003D577F"/>
    <w:rsid w:val="00403419"/>
    <w:rsid w:val="004361DD"/>
    <w:rsid w:val="004503B4"/>
    <w:rsid w:val="00453527"/>
    <w:rsid w:val="00474BD1"/>
    <w:rsid w:val="00475AD3"/>
    <w:rsid w:val="00475FAB"/>
    <w:rsid w:val="0048028B"/>
    <w:rsid w:val="004910F5"/>
    <w:rsid w:val="004A3711"/>
    <w:rsid w:val="004B6A09"/>
    <w:rsid w:val="004C19AE"/>
    <w:rsid w:val="004F0555"/>
    <w:rsid w:val="004F6E0E"/>
    <w:rsid w:val="00511230"/>
    <w:rsid w:val="00511CE0"/>
    <w:rsid w:val="00514436"/>
    <w:rsid w:val="00523EA9"/>
    <w:rsid w:val="005351AF"/>
    <w:rsid w:val="00560133"/>
    <w:rsid w:val="00564EFE"/>
    <w:rsid w:val="00591BD8"/>
    <w:rsid w:val="00593B6D"/>
    <w:rsid w:val="005B012D"/>
    <w:rsid w:val="005B0713"/>
    <w:rsid w:val="005D1FA0"/>
    <w:rsid w:val="005D3AB6"/>
    <w:rsid w:val="005D4A22"/>
    <w:rsid w:val="005D62C8"/>
    <w:rsid w:val="00616BC5"/>
    <w:rsid w:val="006431F7"/>
    <w:rsid w:val="006754AE"/>
    <w:rsid w:val="00691399"/>
    <w:rsid w:val="006A1219"/>
    <w:rsid w:val="006C34BB"/>
    <w:rsid w:val="006C7F4C"/>
    <w:rsid w:val="006E7732"/>
    <w:rsid w:val="006E7E28"/>
    <w:rsid w:val="00703359"/>
    <w:rsid w:val="00704DB8"/>
    <w:rsid w:val="007212F2"/>
    <w:rsid w:val="00722D54"/>
    <w:rsid w:val="0073022D"/>
    <w:rsid w:val="00730668"/>
    <w:rsid w:val="00741CD9"/>
    <w:rsid w:val="0076766F"/>
    <w:rsid w:val="007721F8"/>
    <w:rsid w:val="0077719F"/>
    <w:rsid w:val="0078675D"/>
    <w:rsid w:val="007874FF"/>
    <w:rsid w:val="007A0E5A"/>
    <w:rsid w:val="007A66BE"/>
    <w:rsid w:val="007E7E35"/>
    <w:rsid w:val="00814A7C"/>
    <w:rsid w:val="00836342"/>
    <w:rsid w:val="008668E3"/>
    <w:rsid w:val="008731A0"/>
    <w:rsid w:val="00875F52"/>
    <w:rsid w:val="00882DC9"/>
    <w:rsid w:val="00890351"/>
    <w:rsid w:val="008A648E"/>
    <w:rsid w:val="008B6876"/>
    <w:rsid w:val="008C7FB4"/>
    <w:rsid w:val="008D2337"/>
    <w:rsid w:val="008D4B95"/>
    <w:rsid w:val="008E1AE9"/>
    <w:rsid w:val="008E20C8"/>
    <w:rsid w:val="008E6B4C"/>
    <w:rsid w:val="008E7F8A"/>
    <w:rsid w:val="008F1C07"/>
    <w:rsid w:val="008F480B"/>
    <w:rsid w:val="00911D76"/>
    <w:rsid w:val="00942F4F"/>
    <w:rsid w:val="009501B9"/>
    <w:rsid w:val="0095692C"/>
    <w:rsid w:val="00982A71"/>
    <w:rsid w:val="00993B2A"/>
    <w:rsid w:val="00994B64"/>
    <w:rsid w:val="009A23BE"/>
    <w:rsid w:val="009D0A6E"/>
    <w:rsid w:val="009F0213"/>
    <w:rsid w:val="009F1E46"/>
    <w:rsid w:val="009F4F59"/>
    <w:rsid w:val="00A016CF"/>
    <w:rsid w:val="00A27929"/>
    <w:rsid w:val="00A30FAA"/>
    <w:rsid w:val="00A53124"/>
    <w:rsid w:val="00A54259"/>
    <w:rsid w:val="00A9397C"/>
    <w:rsid w:val="00AC5AA4"/>
    <w:rsid w:val="00AD4077"/>
    <w:rsid w:val="00B24712"/>
    <w:rsid w:val="00B277BD"/>
    <w:rsid w:val="00B31A06"/>
    <w:rsid w:val="00B42471"/>
    <w:rsid w:val="00B44C6F"/>
    <w:rsid w:val="00B635D2"/>
    <w:rsid w:val="00B76EF8"/>
    <w:rsid w:val="00B841E6"/>
    <w:rsid w:val="00BA2247"/>
    <w:rsid w:val="00BC613D"/>
    <w:rsid w:val="00BD29CB"/>
    <w:rsid w:val="00BE30CB"/>
    <w:rsid w:val="00BF5F9E"/>
    <w:rsid w:val="00C60F00"/>
    <w:rsid w:val="00C7020B"/>
    <w:rsid w:val="00C80B31"/>
    <w:rsid w:val="00C85383"/>
    <w:rsid w:val="00C93080"/>
    <w:rsid w:val="00CE0755"/>
    <w:rsid w:val="00CF01E3"/>
    <w:rsid w:val="00D02FCC"/>
    <w:rsid w:val="00D3721F"/>
    <w:rsid w:val="00D41461"/>
    <w:rsid w:val="00D450A7"/>
    <w:rsid w:val="00D46F8E"/>
    <w:rsid w:val="00D65914"/>
    <w:rsid w:val="00D938BA"/>
    <w:rsid w:val="00DA32AC"/>
    <w:rsid w:val="00DB5317"/>
    <w:rsid w:val="00DB7E30"/>
    <w:rsid w:val="00DC0025"/>
    <w:rsid w:val="00DE77D7"/>
    <w:rsid w:val="00E01165"/>
    <w:rsid w:val="00E06C25"/>
    <w:rsid w:val="00E10BA1"/>
    <w:rsid w:val="00E33B77"/>
    <w:rsid w:val="00E61DA8"/>
    <w:rsid w:val="00E64C8A"/>
    <w:rsid w:val="00E737DC"/>
    <w:rsid w:val="00E9695A"/>
    <w:rsid w:val="00EA5915"/>
    <w:rsid w:val="00EC31B7"/>
    <w:rsid w:val="00ED4A89"/>
    <w:rsid w:val="00EE01D3"/>
    <w:rsid w:val="00EE0372"/>
    <w:rsid w:val="00EE128E"/>
    <w:rsid w:val="00EE1EFF"/>
    <w:rsid w:val="00EE5D91"/>
    <w:rsid w:val="00EE605B"/>
    <w:rsid w:val="00EF50B2"/>
    <w:rsid w:val="00F03E31"/>
    <w:rsid w:val="00F21D96"/>
    <w:rsid w:val="00F362D0"/>
    <w:rsid w:val="00F5338F"/>
    <w:rsid w:val="00F71976"/>
    <w:rsid w:val="00F7586D"/>
    <w:rsid w:val="00F77FAE"/>
    <w:rsid w:val="00F829CC"/>
    <w:rsid w:val="00FD6C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0068B-1CF2-427B-AA08-8F75773C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42453"/>
    <w:rPr>
      <w:rFonts w:ascii="Arial" w:hAnsi="Arial"/>
      <w:sz w:val="22"/>
      <w:szCs w:val="22"/>
    </w:rPr>
  </w:style>
  <w:style w:type="paragraph" w:styleId="Overskrift1">
    <w:name w:val="heading 1"/>
    <w:aliases w:val="Rehab"/>
    <w:basedOn w:val="Normal"/>
    <w:next w:val="Normal"/>
    <w:link w:val="Overskrift1Tegn"/>
    <w:autoRedefine/>
    <w:qFormat/>
    <w:rsid w:val="00EE0372"/>
    <w:pPr>
      <w:keepNext/>
      <w:spacing w:before="240" w:after="60"/>
      <w:outlineLvl w:val="0"/>
    </w:pPr>
    <w:rPr>
      <w:rFonts w:cs="Arial"/>
      <w:b/>
      <w:bCs/>
      <w:kern w:val="32"/>
      <w:sz w:val="32"/>
      <w:szCs w:val="32"/>
    </w:rPr>
  </w:style>
  <w:style w:type="paragraph" w:styleId="Overskrift2">
    <w:name w:val="heading 2"/>
    <w:basedOn w:val="Normal"/>
    <w:next w:val="Normal"/>
    <w:link w:val="Overskrift2Tegn"/>
    <w:autoRedefine/>
    <w:qFormat/>
    <w:rsid w:val="00703359"/>
    <w:pPr>
      <w:keepNext/>
      <w:spacing w:before="240" w:after="60"/>
      <w:outlineLvl w:val="1"/>
    </w:pPr>
    <w:rPr>
      <w:rFonts w:cs="Arial"/>
      <w:b/>
      <w:bCs/>
      <w:iCs/>
      <w:szCs w:val="24"/>
    </w:rPr>
  </w:style>
  <w:style w:type="paragraph" w:styleId="Overskrift3">
    <w:name w:val="heading 3"/>
    <w:basedOn w:val="Normal"/>
    <w:next w:val="Normal"/>
    <w:autoRedefine/>
    <w:qFormat/>
    <w:rsid w:val="005D1FA0"/>
    <w:pPr>
      <w:keepNext/>
      <w:spacing w:before="240" w:after="60"/>
      <w:outlineLvl w:val="2"/>
    </w:pPr>
    <w:rPr>
      <w:rFonts w:cs="Arial"/>
      <w:bCs/>
      <w:sz w:val="24"/>
      <w:szCs w:val="24"/>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F4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overskrift">
    <w:name w:val="Underoverskrift"/>
    <w:basedOn w:val="Normal"/>
    <w:next w:val="Normal"/>
    <w:link w:val="UnderoverskriftTegn"/>
    <w:autoRedefine/>
    <w:rsid w:val="00911D76"/>
    <w:rPr>
      <w:u w:val="single"/>
    </w:rPr>
  </w:style>
  <w:style w:type="paragraph" w:customStyle="1" w:styleId="Talopstilling">
    <w:name w:val="Talopstilling"/>
    <w:basedOn w:val="Normal"/>
    <w:autoRedefine/>
    <w:rsid w:val="000E0C8A"/>
    <w:pPr>
      <w:tabs>
        <w:tab w:val="right" w:pos="5954"/>
        <w:tab w:val="right" w:pos="7938"/>
      </w:tabs>
    </w:pPr>
  </w:style>
  <w:style w:type="paragraph" w:customStyle="1" w:styleId="Punktopstilling">
    <w:name w:val="Punktopstilling"/>
    <w:basedOn w:val="Normal"/>
    <w:autoRedefine/>
    <w:rsid w:val="00342453"/>
    <w:pPr>
      <w:numPr>
        <w:numId w:val="17"/>
      </w:numPr>
    </w:pPr>
  </w:style>
  <w:style w:type="character" w:customStyle="1" w:styleId="UnderoverskriftTegn">
    <w:name w:val="Underoverskrift Tegn"/>
    <w:basedOn w:val="Standardskrifttypeiafsnit"/>
    <w:link w:val="Underoverskrift"/>
    <w:rsid w:val="00741CD9"/>
    <w:rPr>
      <w:rFonts w:ascii="Arial" w:hAnsi="Arial"/>
      <w:sz w:val="22"/>
      <w:szCs w:val="22"/>
      <w:u w:val="single"/>
      <w:lang w:val="da-DK" w:eastAsia="da-DK" w:bidi="ar-SA"/>
    </w:rPr>
  </w:style>
  <w:style w:type="paragraph" w:styleId="Listeafsnit">
    <w:name w:val="List Paragraph"/>
    <w:basedOn w:val="Normal"/>
    <w:uiPriority w:val="34"/>
    <w:qFormat/>
    <w:rsid w:val="00342453"/>
    <w:pPr>
      <w:ind w:left="720"/>
    </w:pPr>
    <w:rPr>
      <w:rFonts w:ascii="Calibri" w:eastAsia="Calibri" w:hAnsi="Calibri"/>
    </w:rPr>
  </w:style>
  <w:style w:type="paragraph" w:styleId="Markeringsbobletekst">
    <w:name w:val="Balloon Text"/>
    <w:basedOn w:val="Normal"/>
    <w:link w:val="MarkeringsbobletekstTegn"/>
    <w:rsid w:val="006A1219"/>
    <w:rPr>
      <w:rFonts w:ascii="Segoe UI" w:hAnsi="Segoe UI" w:cs="Segoe UI"/>
      <w:sz w:val="18"/>
      <w:szCs w:val="18"/>
    </w:rPr>
  </w:style>
  <w:style w:type="character" w:customStyle="1" w:styleId="MarkeringsbobletekstTegn">
    <w:name w:val="Markeringsbobletekst Tegn"/>
    <w:basedOn w:val="Standardskrifttypeiafsnit"/>
    <w:link w:val="Markeringsbobletekst"/>
    <w:rsid w:val="006A1219"/>
    <w:rPr>
      <w:rFonts w:ascii="Segoe UI" w:hAnsi="Segoe UI" w:cs="Segoe UI"/>
      <w:sz w:val="18"/>
      <w:szCs w:val="18"/>
    </w:rPr>
  </w:style>
  <w:style w:type="character" w:customStyle="1" w:styleId="Overskrift1Tegn">
    <w:name w:val="Overskrift 1 Tegn"/>
    <w:aliases w:val="Rehab Tegn"/>
    <w:link w:val="Overskrift1"/>
    <w:rsid w:val="00A53124"/>
    <w:rPr>
      <w:rFonts w:ascii="Arial" w:hAnsi="Arial" w:cs="Arial"/>
      <w:b/>
      <w:bCs/>
      <w:kern w:val="32"/>
      <w:sz w:val="32"/>
      <w:szCs w:val="32"/>
    </w:rPr>
  </w:style>
  <w:style w:type="character" w:customStyle="1" w:styleId="Overskrift2Tegn">
    <w:name w:val="Overskrift 2 Tegn"/>
    <w:link w:val="Overskrift2"/>
    <w:rsid w:val="00A53124"/>
    <w:rPr>
      <w:rFonts w:ascii="Arial" w:hAnsi="Arial" w:cs="Arial"/>
      <w:b/>
      <w:bCs/>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4277">
      <w:bodyDiv w:val="1"/>
      <w:marLeft w:val="0"/>
      <w:marRight w:val="0"/>
      <w:marTop w:val="0"/>
      <w:marBottom w:val="0"/>
      <w:divBdr>
        <w:top w:val="none" w:sz="0" w:space="0" w:color="auto"/>
        <w:left w:val="none" w:sz="0" w:space="0" w:color="auto"/>
        <w:bottom w:val="none" w:sz="0" w:space="0" w:color="auto"/>
        <w:right w:val="none" w:sz="0" w:space="0" w:color="auto"/>
      </w:divBdr>
    </w:div>
    <w:div w:id="746607758">
      <w:bodyDiv w:val="1"/>
      <w:marLeft w:val="0"/>
      <w:marRight w:val="0"/>
      <w:marTop w:val="0"/>
      <w:marBottom w:val="0"/>
      <w:divBdr>
        <w:top w:val="none" w:sz="0" w:space="0" w:color="auto"/>
        <w:left w:val="none" w:sz="0" w:space="0" w:color="auto"/>
        <w:bottom w:val="none" w:sz="0" w:space="0" w:color="auto"/>
        <w:right w:val="none" w:sz="0" w:space="0" w:color="auto"/>
      </w:divBdr>
    </w:div>
    <w:div w:id="1184972631">
      <w:bodyDiv w:val="1"/>
      <w:marLeft w:val="0"/>
      <w:marRight w:val="0"/>
      <w:marTop w:val="0"/>
      <w:marBottom w:val="0"/>
      <w:divBdr>
        <w:top w:val="none" w:sz="0" w:space="0" w:color="auto"/>
        <w:left w:val="none" w:sz="0" w:space="0" w:color="auto"/>
        <w:bottom w:val="none" w:sz="0" w:space="0" w:color="auto"/>
        <w:right w:val="none" w:sz="0" w:space="0" w:color="auto"/>
      </w:divBdr>
    </w:div>
    <w:div w:id="16364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3701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Nr</vt:lpstr>
    </vt:vector>
  </TitlesOfParts>
  <Company>Roskilde Kommune, IT-afdelingen</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Thomas Meyhoff Crone</dc:creator>
  <cp:keywords/>
  <cp:lastModifiedBy>Mette Gram Hansen</cp:lastModifiedBy>
  <cp:revision>16</cp:revision>
  <cp:lastPrinted>2018-11-16T12:18:00Z</cp:lastPrinted>
  <dcterms:created xsi:type="dcterms:W3CDTF">2018-12-05T12:25:00Z</dcterms:created>
  <dcterms:modified xsi:type="dcterms:W3CDTF">2018-12-20T09:56:00Z</dcterms:modified>
</cp:coreProperties>
</file>